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3C" w:rsidRPr="00C1657F" w:rsidRDefault="00CE723C" w:rsidP="00CE723C">
      <w:pPr>
        <w:tabs>
          <w:tab w:val="left" w:pos="6435"/>
        </w:tabs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C1657F">
        <w:rPr>
          <w:rFonts w:ascii="MS Sans Serif" w:hAnsi="MS Sans Serif" w:cs="MS Sans Serif"/>
          <w:noProof/>
          <w:sz w:val="28"/>
          <w:szCs w:val="28"/>
        </w:rPr>
        <w:drawing>
          <wp:inline distT="0" distB="0" distL="0" distR="0" wp14:anchorId="0DFC07A7" wp14:editId="18BE3928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23C" w:rsidRPr="00C1657F" w:rsidRDefault="00CE723C" w:rsidP="00CE723C">
      <w:pPr>
        <w:pStyle w:val="a8"/>
        <w:jc w:val="center"/>
        <w:rPr>
          <w:b/>
          <w:bCs/>
          <w:sz w:val="28"/>
          <w:szCs w:val="28"/>
        </w:rPr>
      </w:pPr>
      <w:r w:rsidRPr="00C1657F">
        <w:rPr>
          <w:b/>
          <w:bCs/>
          <w:sz w:val="28"/>
          <w:szCs w:val="28"/>
        </w:rPr>
        <w:t>БУЧАНСЬКА     МІСЬКА      РАДА</w:t>
      </w:r>
    </w:p>
    <w:p w:rsidR="00CE723C" w:rsidRPr="00C1657F" w:rsidRDefault="00CE723C" w:rsidP="00CE723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1657F">
        <w:rPr>
          <w:sz w:val="28"/>
          <w:szCs w:val="28"/>
        </w:rPr>
        <w:t>КИЇВСЬКОЇ ОБЛАСТІ</w:t>
      </w:r>
    </w:p>
    <w:p w:rsidR="00CE723C" w:rsidRPr="00C1657F" w:rsidRDefault="00CE723C" w:rsidP="00CE723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C1657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E723C" w:rsidRPr="00C1657F" w:rsidRDefault="00CE723C" w:rsidP="00CE723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657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C1657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1657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E723C" w:rsidRPr="00C1657F" w:rsidRDefault="00CE723C" w:rsidP="00CE723C">
      <w:pPr>
        <w:rPr>
          <w:sz w:val="24"/>
          <w:szCs w:val="24"/>
        </w:rPr>
      </w:pPr>
    </w:p>
    <w:p w:rsidR="00CE723C" w:rsidRPr="00C1657F" w:rsidRDefault="00CE723C" w:rsidP="00CE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19</w:t>
      </w:r>
      <w:proofErr w:type="gramEnd"/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_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червня 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292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CE723C" w:rsidRPr="00C1657F" w:rsidRDefault="00CE723C" w:rsidP="00CE723C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стан дотримання страхувальниками </w:t>
      </w:r>
    </w:p>
    <w:p w:rsidR="00CE723C" w:rsidRPr="00C1657F" w:rsidRDefault="00CE723C" w:rsidP="00CE723C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законодавства про працю, зокрема</w:t>
      </w:r>
    </w:p>
    <w:p w:rsidR="00CE723C" w:rsidRPr="00C1657F" w:rsidRDefault="00CE723C" w:rsidP="00CE72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 бюджетній  сфері у м. Буча</w:t>
      </w:r>
    </w:p>
    <w:p w:rsidR="00CE723C" w:rsidRPr="00C1657F" w:rsidRDefault="00CE723C" w:rsidP="00CE723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723C" w:rsidRPr="00C1657F" w:rsidRDefault="00CE723C" w:rsidP="00CE723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звіт доповідача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Фефілатьєвої</w:t>
      </w:r>
      <w:proofErr w:type="spellEnd"/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Ю. М. (перший заступник начальника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Ірпінського</w:t>
      </w:r>
      <w:proofErr w:type="spellEnd"/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об’єднаного управління Пенсійного фонду України Київської області) про стан дотримання страхувальниками законодавства про працю, зокрема в бюджетній  сфері у м. Буча, керуючись Законом України «Про місцеве самоврядування в Україні», виконавчий комітет Бучанської міської ради</w:t>
      </w:r>
    </w:p>
    <w:p w:rsidR="00CE723C" w:rsidRPr="00C1657F" w:rsidRDefault="00CE723C" w:rsidP="00CE723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В:</w:t>
      </w:r>
    </w:p>
    <w:p w:rsidR="00CE723C" w:rsidRPr="00C1657F" w:rsidRDefault="00CE723C" w:rsidP="00CE723C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1. Інформацію щодо дотримання страхувальниками законодавства про працю, зокрема в бюджетній  сфері у м. Буча взяти до відома (додаток 1).</w:t>
      </w:r>
    </w:p>
    <w:p w:rsidR="00CE723C" w:rsidRPr="00C1657F" w:rsidRDefault="00CE723C" w:rsidP="00CE723C">
      <w:pPr>
        <w:pStyle w:val="a3"/>
        <w:ind w:firstLine="540"/>
        <w:rPr>
          <w:sz w:val="24"/>
          <w:szCs w:val="24"/>
        </w:rPr>
      </w:pPr>
      <w:r w:rsidRPr="00C1657F">
        <w:rPr>
          <w:sz w:val="24"/>
          <w:szCs w:val="24"/>
        </w:rPr>
        <w:t>2. Ірпінському об’єднаному управлінню  Пенсійного фонду України Київської області  продовжити роботу, спрямовану на виявлення фактів використання праці неоформлених працівників.</w:t>
      </w:r>
    </w:p>
    <w:p w:rsidR="00CE723C" w:rsidRPr="00C1657F" w:rsidRDefault="00CE723C" w:rsidP="00CE723C">
      <w:pPr>
        <w:pStyle w:val="210"/>
        <w:ind w:right="-1" w:firstLine="567"/>
        <w:rPr>
          <w:sz w:val="24"/>
          <w:szCs w:val="24"/>
        </w:rPr>
      </w:pPr>
      <w:r w:rsidRPr="00C1657F">
        <w:rPr>
          <w:sz w:val="24"/>
          <w:szCs w:val="24"/>
        </w:rPr>
        <w:t>З цією метою:</w:t>
      </w:r>
    </w:p>
    <w:p w:rsidR="00CE723C" w:rsidRPr="00C1657F" w:rsidRDefault="00CE723C" w:rsidP="00CE723C">
      <w:pPr>
        <w:numPr>
          <w:ilvl w:val="0"/>
          <w:numId w:val="1"/>
        </w:numPr>
        <w:shd w:val="clear" w:color="auto" w:fill="FFFFFF"/>
        <w:tabs>
          <w:tab w:val="left" w:pos="567"/>
          <w:tab w:val="left" w:pos="9781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проводити щомісячний аналіз та моніторинг відомостей Реєстру застрахованих осіб щодо фактів порушення трудового законодавства;</w:t>
      </w:r>
      <w:r w:rsidRPr="00C1657F">
        <w:rPr>
          <w:rFonts w:ascii="Times New Roman" w:hAnsi="Times New Roman" w:cs="Times New Roman"/>
          <w:color w:val="000000"/>
          <w:spacing w:val="2"/>
          <w:sz w:val="24"/>
          <w:szCs w:val="24"/>
          <w:lang w:val="uk-UA"/>
        </w:rPr>
        <w:t xml:space="preserve"> </w:t>
      </w:r>
    </w:p>
    <w:p w:rsidR="00CE723C" w:rsidRPr="00C1657F" w:rsidRDefault="00CE723C" w:rsidP="00CE723C">
      <w:pPr>
        <w:numPr>
          <w:ilvl w:val="0"/>
          <w:numId w:val="1"/>
        </w:numPr>
        <w:shd w:val="clear" w:color="auto" w:fill="FFFFFF"/>
        <w:tabs>
          <w:tab w:val="left" w:pos="567"/>
          <w:tab w:val="left" w:pos="720"/>
          <w:tab w:val="left" w:pos="978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657F">
        <w:rPr>
          <w:rFonts w:ascii="Times New Roman" w:hAnsi="Times New Roman" w:cs="Times New Roman"/>
          <w:color w:val="000000"/>
          <w:spacing w:val="2"/>
          <w:sz w:val="24"/>
          <w:szCs w:val="24"/>
          <w:lang w:val="uk-UA"/>
        </w:rPr>
        <w:t xml:space="preserve">проводити щомісячний обмін інформацією з соціальними партнерами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щодо страхувальників, які порушують норми законодавства про працю та права застрахованих осіб;</w:t>
      </w:r>
    </w:p>
    <w:p w:rsidR="00CE723C" w:rsidRPr="00C1657F" w:rsidRDefault="00CE723C" w:rsidP="00CE723C">
      <w:pPr>
        <w:pStyle w:val="21"/>
        <w:numPr>
          <w:ilvl w:val="0"/>
          <w:numId w:val="2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C1657F">
        <w:rPr>
          <w:sz w:val="24"/>
          <w:szCs w:val="24"/>
        </w:rPr>
        <w:t>проводити зустрічі в трудових колективах підприємств, де наголошувати про запобігання виникнення порушення прав застрахованих осіб шляхом нарахування та виплати заробітної плати менше законодавчо встановленого розміру;</w:t>
      </w:r>
    </w:p>
    <w:p w:rsidR="00CE723C" w:rsidRPr="00C1657F" w:rsidRDefault="00CE723C" w:rsidP="00CE723C">
      <w:pPr>
        <w:pStyle w:val="21"/>
        <w:numPr>
          <w:ilvl w:val="0"/>
          <w:numId w:val="2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C1657F">
        <w:rPr>
          <w:sz w:val="24"/>
          <w:szCs w:val="24"/>
        </w:rPr>
        <w:t xml:space="preserve">забезпечити інформаційно – роз’яснювальну роботу з фізичними особами – підприємцями щодо обов’язку зі сплати єдиного соціального внеску, серед населення щодо переваг отримання «легальної» заробітної плати; </w:t>
      </w:r>
    </w:p>
    <w:p w:rsidR="00CE723C" w:rsidRPr="00C1657F" w:rsidRDefault="00CE723C" w:rsidP="00CE723C">
      <w:pPr>
        <w:pStyle w:val="210"/>
        <w:tabs>
          <w:tab w:val="left" w:pos="567"/>
        </w:tabs>
        <w:ind w:right="-1"/>
        <w:rPr>
          <w:sz w:val="24"/>
          <w:szCs w:val="24"/>
        </w:rPr>
      </w:pPr>
      <w:r w:rsidRPr="00C1657F">
        <w:rPr>
          <w:sz w:val="24"/>
          <w:szCs w:val="24"/>
        </w:rPr>
        <w:tab/>
        <w:t xml:space="preserve">3. Голові Бучанської міської </w:t>
      </w:r>
      <w:bookmarkStart w:id="1" w:name="OLE_LINK2"/>
      <w:r w:rsidRPr="00C1657F">
        <w:rPr>
          <w:sz w:val="24"/>
          <w:szCs w:val="24"/>
        </w:rPr>
        <w:t>робочої групи з питань легалізації виплати заробітної плати та зайнятості населення</w:t>
      </w:r>
      <w:bookmarkEnd w:id="1"/>
      <w:r w:rsidRPr="00C1657F">
        <w:rPr>
          <w:sz w:val="24"/>
          <w:szCs w:val="24"/>
        </w:rPr>
        <w:t>:</w:t>
      </w:r>
    </w:p>
    <w:p w:rsidR="00CE723C" w:rsidRPr="00C1657F" w:rsidRDefault="00CE723C" w:rsidP="00CE723C">
      <w:pPr>
        <w:pStyle w:val="210"/>
        <w:numPr>
          <w:ilvl w:val="0"/>
          <w:numId w:val="3"/>
        </w:numPr>
        <w:tabs>
          <w:tab w:val="left" w:pos="567"/>
        </w:tabs>
        <w:ind w:left="0" w:right="-1" w:firstLine="284"/>
        <w:rPr>
          <w:sz w:val="24"/>
          <w:szCs w:val="24"/>
        </w:rPr>
      </w:pPr>
      <w:r w:rsidRPr="00C1657F">
        <w:rPr>
          <w:sz w:val="24"/>
          <w:szCs w:val="24"/>
        </w:rPr>
        <w:t>з метою захисту прав громадян продовжити роботу міської робочої групи щодо легалізації трудових відносин між роботодавцями та найманими працівниками;</w:t>
      </w:r>
    </w:p>
    <w:p w:rsidR="00CE723C" w:rsidRPr="00C1657F" w:rsidRDefault="00CE723C" w:rsidP="00CE72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заслухати на засіданнях комісії звіти керівників</w:t>
      </w:r>
      <w:r w:rsidRPr="00C1657F">
        <w:rPr>
          <w:rFonts w:ascii="Times New Roman" w:hAnsi="Times New Roman" w:cs="Times New Roman"/>
          <w:sz w:val="24"/>
          <w:szCs w:val="24"/>
        </w:rPr>
        <w:t xml:space="preserve">,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які порушують норми законодавства про працю та права застрахованих осіб.</w:t>
      </w:r>
    </w:p>
    <w:p w:rsidR="00CE723C" w:rsidRDefault="00CE723C" w:rsidP="00CE723C">
      <w:pPr>
        <w:pStyle w:val="210"/>
        <w:ind w:right="-1" w:firstLine="567"/>
        <w:rPr>
          <w:sz w:val="24"/>
          <w:szCs w:val="24"/>
        </w:rPr>
      </w:pPr>
    </w:p>
    <w:p w:rsidR="00CE723C" w:rsidRDefault="00CE723C" w:rsidP="00CE723C">
      <w:pPr>
        <w:pStyle w:val="210"/>
        <w:ind w:right="-1" w:firstLine="567"/>
        <w:rPr>
          <w:sz w:val="24"/>
          <w:szCs w:val="24"/>
        </w:rPr>
      </w:pPr>
    </w:p>
    <w:p w:rsidR="00CE723C" w:rsidRPr="00C1657F" w:rsidRDefault="00CE723C" w:rsidP="00CE723C">
      <w:pPr>
        <w:pStyle w:val="210"/>
        <w:ind w:right="-1" w:firstLine="567"/>
        <w:rPr>
          <w:sz w:val="24"/>
          <w:szCs w:val="24"/>
        </w:rPr>
      </w:pPr>
      <w:r w:rsidRPr="00C1657F">
        <w:rPr>
          <w:sz w:val="24"/>
          <w:szCs w:val="24"/>
        </w:rPr>
        <w:lastRenderedPageBreak/>
        <w:t xml:space="preserve">5. Організацію виконання цього рішення доручити першому заступнику начальника </w:t>
      </w:r>
      <w:proofErr w:type="spellStart"/>
      <w:r w:rsidRPr="00C1657F">
        <w:rPr>
          <w:sz w:val="24"/>
          <w:szCs w:val="24"/>
        </w:rPr>
        <w:t>Ірпінського</w:t>
      </w:r>
      <w:proofErr w:type="spellEnd"/>
      <w:r w:rsidRPr="00C1657F">
        <w:rPr>
          <w:sz w:val="24"/>
          <w:szCs w:val="24"/>
        </w:rPr>
        <w:t xml:space="preserve"> об’єднаного управління Пенсійного фонду України Київської області (</w:t>
      </w:r>
      <w:proofErr w:type="spellStart"/>
      <w:r w:rsidRPr="00C1657F">
        <w:rPr>
          <w:sz w:val="24"/>
          <w:szCs w:val="24"/>
        </w:rPr>
        <w:t>Фефілатьєвій</w:t>
      </w:r>
      <w:proofErr w:type="spellEnd"/>
      <w:r w:rsidRPr="00C1657F">
        <w:rPr>
          <w:sz w:val="24"/>
          <w:szCs w:val="24"/>
        </w:rPr>
        <w:t xml:space="preserve"> Ю.М.).</w:t>
      </w:r>
    </w:p>
    <w:p w:rsidR="00CE723C" w:rsidRPr="00C1657F" w:rsidRDefault="00CE723C" w:rsidP="00CE723C">
      <w:pPr>
        <w:pStyle w:val="21"/>
        <w:ind w:firstLine="567"/>
        <w:rPr>
          <w:sz w:val="24"/>
          <w:szCs w:val="24"/>
        </w:rPr>
      </w:pPr>
      <w:r w:rsidRPr="00C1657F">
        <w:rPr>
          <w:sz w:val="24"/>
          <w:szCs w:val="24"/>
        </w:rPr>
        <w:t>6. Контроль за виконанням рішення покласти на заступника міського голови Холодила П. В..</w:t>
      </w:r>
    </w:p>
    <w:p w:rsidR="00CE723C" w:rsidRPr="00C1657F" w:rsidRDefault="00CE723C" w:rsidP="00CE723C">
      <w:pPr>
        <w:pStyle w:val="21"/>
        <w:rPr>
          <w:sz w:val="24"/>
          <w:szCs w:val="24"/>
        </w:rPr>
      </w:pPr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b/>
          <w:bCs/>
          <w:spacing w:val="-4"/>
          <w:sz w:val="24"/>
          <w:szCs w:val="24"/>
          <w:lang w:val="uk-UA"/>
        </w:rPr>
      </w:pPr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t>Міський голова</w:t>
      </w:r>
      <w:r w:rsidRPr="00C1657F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 </w:t>
      </w:r>
      <w:r w:rsidRPr="00C1657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А. П. Федорук</w:t>
      </w:r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міського голови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Т. О.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Шаправський</w:t>
      </w:r>
      <w:proofErr w:type="spellEnd"/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В. о. к</w:t>
      </w:r>
      <w:proofErr w:type="spellStart"/>
      <w:r w:rsidRPr="00C1657F">
        <w:rPr>
          <w:rFonts w:ascii="Times New Roman" w:hAnsi="Times New Roman" w:cs="Times New Roman"/>
          <w:sz w:val="24"/>
          <w:szCs w:val="24"/>
        </w:rPr>
        <w:t>еруюч</w:t>
      </w:r>
      <w:proofErr w:type="spellEnd"/>
      <w:r w:rsidRPr="00C1657F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1657F">
        <w:rPr>
          <w:rFonts w:ascii="Times New Roman" w:hAnsi="Times New Roman" w:cs="Times New Roman"/>
          <w:sz w:val="24"/>
          <w:szCs w:val="24"/>
        </w:rPr>
        <w:t xml:space="preserve"> справами                                       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Д. О.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Гапченко</w:t>
      </w:r>
      <w:proofErr w:type="spellEnd"/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proofErr w:type="gramStart"/>
      <w:r w:rsidRPr="00C1657F">
        <w:rPr>
          <w:rFonts w:ascii="Times New Roman" w:hAnsi="Times New Roman" w:cs="Times New Roman"/>
          <w:b/>
          <w:bCs/>
          <w:sz w:val="24"/>
          <w:szCs w:val="24"/>
        </w:rPr>
        <w:t>Погоджено</w:t>
      </w:r>
      <w:proofErr w:type="spellEnd"/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E723C" w:rsidRPr="00C1657F" w:rsidRDefault="00CE723C" w:rsidP="00CE723C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  П. В. Холодило</w:t>
      </w:r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В .о. завідувача юридичним відділом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М. С.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proofErr w:type="gramStart"/>
      <w:r w:rsidRPr="00C1657F">
        <w:rPr>
          <w:rFonts w:ascii="Times New Roman" w:hAnsi="Times New Roman" w:cs="Times New Roman"/>
          <w:b/>
          <w:bCs/>
          <w:sz w:val="24"/>
          <w:szCs w:val="24"/>
        </w:rPr>
        <w:t>Подання</w:t>
      </w:r>
      <w:proofErr w:type="spellEnd"/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CE723C" w:rsidRPr="00C1657F" w:rsidRDefault="00CE723C" w:rsidP="00CE723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723C" w:rsidRPr="00C1657F" w:rsidRDefault="00CE723C" w:rsidP="00CE723C">
      <w:pPr>
        <w:spacing w:after="0"/>
        <w:ind w:right="-81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В. о.</w:t>
      </w:r>
      <w:r w:rsidRPr="00C1657F">
        <w:rPr>
          <w:rFonts w:ascii="Times New Roman" w:hAnsi="Times New Roman" w:cs="Times New Roman"/>
          <w:sz w:val="24"/>
          <w:szCs w:val="24"/>
        </w:rPr>
        <w:t xml:space="preserve"> начальника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Ірпінського</w:t>
      </w:r>
      <w:proofErr w:type="spellEnd"/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Pr="00C1657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днаного</w:t>
      </w:r>
      <w:proofErr w:type="spellEnd"/>
    </w:p>
    <w:p w:rsidR="00CE723C" w:rsidRPr="00C1657F" w:rsidRDefault="00CE723C" w:rsidP="00CE723C">
      <w:pPr>
        <w:spacing w:after="0"/>
        <w:ind w:right="-81"/>
        <w:rPr>
          <w:rFonts w:ascii="Times New Roman" w:hAnsi="Times New Roman" w:cs="Times New Roman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управління  Пенсійного фонду України</w:t>
      </w:r>
    </w:p>
    <w:p w:rsidR="00CE723C" w:rsidRPr="00C1657F" w:rsidRDefault="00CE723C" w:rsidP="00CE723C">
      <w:pPr>
        <w:spacing w:after="0"/>
        <w:ind w:right="-8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Ю. М.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lang w:val="uk-UA"/>
        </w:rPr>
        <w:t>Фефілатьєва</w:t>
      </w:r>
      <w:proofErr w:type="spellEnd"/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E723C" w:rsidRPr="00C1657F" w:rsidRDefault="00CE723C" w:rsidP="00CE723C">
      <w:pPr>
        <w:pStyle w:val="a5"/>
        <w:jc w:val="right"/>
        <w:rPr>
          <w:sz w:val="24"/>
          <w:szCs w:val="24"/>
        </w:rPr>
      </w:pPr>
    </w:p>
    <w:p w:rsidR="00CE723C" w:rsidRPr="00C1657F" w:rsidRDefault="00CE723C" w:rsidP="00CE723C">
      <w:pPr>
        <w:pStyle w:val="a5"/>
        <w:jc w:val="right"/>
        <w:rPr>
          <w:sz w:val="24"/>
          <w:szCs w:val="24"/>
        </w:rPr>
      </w:pPr>
    </w:p>
    <w:p w:rsidR="00CE723C" w:rsidRPr="00C1657F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Pr="00C1657F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Default="00CE723C" w:rsidP="00CE723C">
      <w:pPr>
        <w:pStyle w:val="a5"/>
        <w:jc w:val="right"/>
        <w:rPr>
          <w:sz w:val="24"/>
          <w:szCs w:val="24"/>
        </w:rPr>
      </w:pPr>
    </w:p>
    <w:p w:rsidR="00CE723C" w:rsidRPr="00C1657F" w:rsidRDefault="00CE723C" w:rsidP="00CE723C">
      <w:pPr>
        <w:pStyle w:val="a5"/>
        <w:jc w:val="right"/>
        <w:rPr>
          <w:sz w:val="24"/>
          <w:szCs w:val="24"/>
        </w:rPr>
      </w:pPr>
      <w:r w:rsidRPr="00C1657F">
        <w:rPr>
          <w:sz w:val="24"/>
          <w:szCs w:val="24"/>
        </w:rPr>
        <w:lastRenderedPageBreak/>
        <w:t>Додаток 1</w:t>
      </w:r>
    </w:p>
    <w:p w:rsidR="00CE723C" w:rsidRPr="00C1657F" w:rsidRDefault="00CE723C" w:rsidP="00CE723C">
      <w:pPr>
        <w:pStyle w:val="a5"/>
        <w:rPr>
          <w:sz w:val="24"/>
          <w:szCs w:val="24"/>
        </w:rPr>
      </w:pPr>
    </w:p>
    <w:p w:rsidR="00CE723C" w:rsidRPr="00C1657F" w:rsidRDefault="00CE723C" w:rsidP="00CE723C">
      <w:pPr>
        <w:pStyle w:val="a5"/>
        <w:rPr>
          <w:sz w:val="24"/>
          <w:szCs w:val="24"/>
        </w:rPr>
      </w:pPr>
      <w:r w:rsidRPr="00C1657F">
        <w:rPr>
          <w:sz w:val="24"/>
          <w:szCs w:val="24"/>
        </w:rPr>
        <w:t>Про стан дотримання законодавства про працю страхувальниками, зокрема в бюджетній сфері  у м. Буча</w:t>
      </w:r>
    </w:p>
    <w:p w:rsidR="00CE723C" w:rsidRPr="00C1657F" w:rsidRDefault="00CE723C" w:rsidP="00CE723C">
      <w:pPr>
        <w:pStyle w:val="a7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  <w:lang w:val="uk-UA"/>
        </w:rPr>
      </w:pPr>
      <w:r w:rsidRPr="00C1657F">
        <w:rPr>
          <w:color w:val="000000"/>
          <w:shd w:val="clear" w:color="auto" w:fill="FFFFFF"/>
          <w:lang w:val="uk-UA"/>
        </w:rPr>
        <w:t xml:space="preserve">Від початку року </w:t>
      </w:r>
      <w:proofErr w:type="spellStart"/>
      <w:r w:rsidRPr="00C1657F">
        <w:rPr>
          <w:color w:val="000000"/>
          <w:shd w:val="clear" w:color="auto" w:fill="FFFFFF"/>
          <w:lang w:val="uk-UA"/>
        </w:rPr>
        <w:t>Ірпінське</w:t>
      </w:r>
      <w:proofErr w:type="spellEnd"/>
      <w:r w:rsidRPr="00C1657F">
        <w:rPr>
          <w:color w:val="000000"/>
          <w:shd w:val="clear" w:color="auto" w:fill="FFFFFF"/>
          <w:lang w:val="uk-UA"/>
        </w:rPr>
        <w:t xml:space="preserve"> об’єднане управління Пенсійного фонду України Київської області активно працювало в напрямку мобілізації коштів до бюджету як основного джерела для своєчасного забезпечення виплат пенсіонерам регіону. Так, власні надходження, з урахуванням сум розмежування єдиного соціального внеску на загальнообов'язкове державне соціальне страхування  у січні - травні 2018 року склали 225 614,5 тис. грн. План з надходження коштів, адміністрування яких здійснюють органи фонду, виконано на 114,3 %. </w:t>
      </w:r>
    </w:p>
    <w:p w:rsidR="00CE723C" w:rsidRPr="00C1657F" w:rsidRDefault="00CE723C" w:rsidP="00CE723C">
      <w:pPr>
        <w:pStyle w:val="a7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  <w:lang w:val="uk-UA"/>
        </w:rPr>
      </w:pPr>
      <w:r w:rsidRPr="00C1657F">
        <w:rPr>
          <w:color w:val="000000"/>
          <w:shd w:val="clear" w:color="auto" w:fill="FFFFFF"/>
          <w:lang w:val="uk-UA"/>
        </w:rPr>
        <w:t>Разом з тим, таке надходження коштів не покриває видатки на виплату пенсій.  Сума коштів, що надходить від сплати внесків, лише на 33,4 % забезпечує потребу на виплати пенсій. Середньомісячна сума видатків для виплат складає 675628,9 тис. грн.</w:t>
      </w:r>
    </w:p>
    <w:p w:rsidR="00CE723C" w:rsidRPr="00C1657F" w:rsidRDefault="00CE723C" w:rsidP="00CE723C">
      <w:pPr>
        <w:pStyle w:val="a7"/>
        <w:spacing w:before="0" w:beforeAutospacing="0" w:after="0" w:afterAutospacing="0"/>
        <w:ind w:firstLine="567"/>
        <w:jc w:val="both"/>
        <w:rPr>
          <w:shd w:val="clear" w:color="auto" w:fill="FFFFFF"/>
          <w:lang w:val="uk-UA"/>
        </w:rPr>
      </w:pPr>
      <w:r w:rsidRPr="00C1657F">
        <w:rPr>
          <w:color w:val="000000"/>
          <w:shd w:val="clear" w:color="auto" w:fill="FFFFFF"/>
          <w:lang w:val="uk-UA"/>
        </w:rPr>
        <w:t xml:space="preserve">На сьогодні 100 працюючих осіб, які офіційно працюють, утримують </w:t>
      </w:r>
      <w:r w:rsidRPr="00C1657F">
        <w:rPr>
          <w:shd w:val="clear" w:color="auto" w:fill="FFFFFF"/>
          <w:lang w:val="uk-UA"/>
        </w:rPr>
        <w:t xml:space="preserve">154 пенсіонерів. </w:t>
      </w:r>
    </w:p>
    <w:p w:rsidR="00CE723C" w:rsidRPr="00C1657F" w:rsidRDefault="00CE723C" w:rsidP="00CE723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прав застрахованих осіб та в рамках боротьби з "тіньовою" зайнятістю, </w:t>
      </w:r>
      <w:proofErr w:type="spellStart"/>
      <w:r w:rsidRPr="00C165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Ірпінським</w:t>
      </w:r>
      <w:proofErr w:type="spellEnd"/>
      <w:r w:rsidRPr="00C165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об’єднаним управлінням Пенсійного фонду України Київської області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проводиться аналіз та моніторинг відомостей реєстру застрахованих осіб. Так, чисельність працюючих в Бучанському регіоні станом на 1 червня склала 5834</w:t>
      </w: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осіб. Кожен десятий працівник Бучанського регіону отримує заробітну плату, що не перевищує мінімального розміру, як правило внаслідок неповної зайнятості (їх кількість 332 особа), або отримує заробітну плату в мінімальному розмірі (кількість складає 283 осіб). </w:t>
      </w:r>
    </w:p>
    <w:p w:rsidR="00CE723C" w:rsidRPr="00C1657F" w:rsidRDefault="00CE723C" w:rsidP="00CE723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Відповідний аналіз проведено і в бюджетній сфері та можна зауважити, що страхувальники в бюджетній сфері дотримуються вимог трудового законодавства щодо виплати заробітної плати в розмірі не менше законодавчо визначеному. Однак,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осіб (відповідно до звітності за березень 2018р.) отримують заробітну плату в мінімальному розмірі. Найбільше у сферах освіти -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57</w:t>
      </w: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осіб, охорони здоров'я -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осіб. Дана кількість працівників за період з квітня 2017 по березень 2018 зменшилась на 151 особу, або на 63 %. </w:t>
      </w:r>
    </w:p>
    <w:p w:rsidR="00CE723C" w:rsidRPr="00C1657F" w:rsidRDefault="00CE723C" w:rsidP="00CE723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Також необхідно зауважити, що станом на 1 травня цього року 133 особи працювали на умовах неповного робочого часу та за угодами цивільно-правового характеру, що становить </w:t>
      </w:r>
      <w:r w:rsidRPr="00C1657F">
        <w:rPr>
          <w:rFonts w:ascii="Times New Roman" w:hAnsi="Times New Roman" w:cs="Times New Roman"/>
          <w:sz w:val="24"/>
          <w:szCs w:val="24"/>
          <w:lang w:val="uk-UA"/>
        </w:rPr>
        <w:t>2,27</w:t>
      </w: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% загальної чисельності застрахованих осіб. З них працівників бюджетної сфери – 16 особи. </w:t>
      </w:r>
    </w:p>
    <w:p w:rsidR="00CE723C" w:rsidRPr="00C1657F" w:rsidRDefault="00CE723C" w:rsidP="00CE723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Зважаючи на це пріоритетною залишається робота із легалізації трудових відносин та щодо підвищення середнього розміру заробітної плати. Саме це є запорукою збільшення надходжень як до місцевих бюджетів, так і страхових внесків для виплати пенсій.</w:t>
      </w:r>
    </w:p>
    <w:p w:rsidR="00CE723C" w:rsidRPr="00C1657F" w:rsidRDefault="00CE723C" w:rsidP="00CE723C">
      <w:pPr>
        <w:pStyle w:val="a7"/>
        <w:spacing w:before="0" w:beforeAutospacing="0" w:after="0" w:afterAutospacing="0"/>
        <w:ind w:firstLine="567"/>
        <w:jc w:val="both"/>
        <w:rPr>
          <w:color w:val="191919"/>
          <w:lang w:val="uk-UA"/>
        </w:rPr>
      </w:pPr>
      <w:r w:rsidRPr="00C1657F">
        <w:rPr>
          <w:color w:val="191919"/>
          <w:lang w:val="uk-UA"/>
        </w:rPr>
        <w:t xml:space="preserve">Органам Державної фіскальної служби, управлінню праці та соціального захисту населення БМР та виконавчому комітету БМР надано інформацію  щодо 8 страхувальників, які порушують вимоги ч. 5 ст.8 Закону України «Про збір та облік єдиного внеску на загальнообов’язкове державне соціальне страхування» стосовно </w:t>
      </w:r>
      <w:r w:rsidRPr="00C1657F">
        <w:rPr>
          <w:lang w:val="uk-UA"/>
        </w:rPr>
        <w:t>15 з</w:t>
      </w:r>
      <w:r w:rsidRPr="00C1657F">
        <w:rPr>
          <w:color w:val="191919"/>
          <w:lang w:val="uk-UA"/>
        </w:rPr>
        <w:t>астрахованих осіб.</w:t>
      </w:r>
    </w:p>
    <w:p w:rsidR="00CE723C" w:rsidRPr="00C1657F" w:rsidRDefault="00CE723C" w:rsidP="00CE723C">
      <w:pPr>
        <w:pStyle w:val="a3"/>
        <w:ind w:firstLine="708"/>
        <w:rPr>
          <w:sz w:val="24"/>
          <w:szCs w:val="24"/>
        </w:rPr>
      </w:pPr>
      <w:r w:rsidRPr="00C1657F">
        <w:rPr>
          <w:sz w:val="24"/>
          <w:szCs w:val="24"/>
        </w:rPr>
        <w:t xml:space="preserve">Управлінням здійснюється спільна робота щодо </w:t>
      </w:r>
      <w:r w:rsidRPr="00C1657F">
        <w:rPr>
          <w:color w:val="1D2129"/>
          <w:sz w:val="24"/>
          <w:szCs w:val="24"/>
          <w:shd w:val="clear" w:color="auto" w:fill="FFFFFF"/>
        </w:rPr>
        <w:t>забезпечення реалізації рішень, спрямованих на підвищення рівня оплати праці та дотримання норм законодавства в частині мінімальної заробітної плати, д</w:t>
      </w:r>
      <w:r w:rsidRPr="00C1657F">
        <w:rPr>
          <w:sz w:val="24"/>
          <w:szCs w:val="24"/>
        </w:rPr>
        <w:t>етінізація доходів та зайнятості населення. Протягом 5 місяців 2018 року проведено 5 комісій засідань робочої групи виконавчого комітету Бучанської міської ради з питань легалізації виплати заробітної плати та зайнятості населення в м. Буча, на які органами Пенсійного фонду направлено матеріали щодо підприємств-боржників, 23</w:t>
      </w:r>
      <w:r w:rsidRPr="00C1657F">
        <w:rPr>
          <w:color w:val="FF6600"/>
          <w:sz w:val="24"/>
          <w:szCs w:val="24"/>
        </w:rPr>
        <w:t xml:space="preserve">  </w:t>
      </w:r>
      <w:r w:rsidRPr="00C1657F">
        <w:rPr>
          <w:sz w:val="24"/>
          <w:szCs w:val="24"/>
        </w:rPr>
        <w:t xml:space="preserve">керівників з яких заслухано на засіданнях зазначеної комісії. </w:t>
      </w:r>
    </w:p>
    <w:p w:rsidR="00CE723C" w:rsidRDefault="00CE723C" w:rsidP="00CE723C">
      <w:pPr>
        <w:pStyle w:val="a3"/>
        <w:ind w:firstLine="708"/>
        <w:rPr>
          <w:sz w:val="24"/>
          <w:szCs w:val="24"/>
        </w:rPr>
      </w:pPr>
      <w:r w:rsidRPr="00C1657F">
        <w:rPr>
          <w:sz w:val="24"/>
          <w:szCs w:val="24"/>
        </w:rPr>
        <w:t xml:space="preserve">В результаті діяльності комісії загальна кількість застрахованих осіб, скоротилась на 72 %, у квітні 2017 року 149 страхувальників виплачували заробітну плату в розмірі </w:t>
      </w:r>
    </w:p>
    <w:p w:rsidR="00CE723C" w:rsidRDefault="00CE723C" w:rsidP="00CE723C">
      <w:pPr>
        <w:pStyle w:val="a3"/>
        <w:ind w:firstLine="708"/>
        <w:rPr>
          <w:sz w:val="24"/>
          <w:szCs w:val="24"/>
        </w:rPr>
      </w:pPr>
    </w:p>
    <w:p w:rsidR="00CE723C" w:rsidRDefault="00CE723C" w:rsidP="00CE723C">
      <w:pPr>
        <w:pStyle w:val="a3"/>
        <w:ind w:firstLine="708"/>
        <w:rPr>
          <w:sz w:val="24"/>
          <w:szCs w:val="24"/>
        </w:rPr>
      </w:pPr>
    </w:p>
    <w:p w:rsidR="00CE723C" w:rsidRDefault="00CE723C" w:rsidP="00CE723C">
      <w:pPr>
        <w:pStyle w:val="a3"/>
        <w:ind w:firstLine="708"/>
        <w:rPr>
          <w:sz w:val="24"/>
          <w:szCs w:val="24"/>
        </w:rPr>
      </w:pPr>
    </w:p>
    <w:p w:rsidR="00CE723C" w:rsidRPr="00C1657F" w:rsidRDefault="00CE723C" w:rsidP="00CE723C">
      <w:pPr>
        <w:pStyle w:val="a3"/>
        <w:rPr>
          <w:sz w:val="24"/>
          <w:szCs w:val="24"/>
        </w:rPr>
      </w:pPr>
      <w:r w:rsidRPr="00C1657F">
        <w:rPr>
          <w:sz w:val="24"/>
          <w:szCs w:val="24"/>
        </w:rPr>
        <w:t>меншому ніж мінімальний - 1169 особам, у березні 2018 року 87 страхувальників - 332 особам.</w:t>
      </w:r>
    </w:p>
    <w:p w:rsidR="00CE723C" w:rsidRPr="00C1657F" w:rsidRDefault="00CE723C" w:rsidP="00CE723C">
      <w:pPr>
        <w:pStyle w:val="a3"/>
        <w:ind w:firstLine="708"/>
        <w:rPr>
          <w:sz w:val="24"/>
          <w:szCs w:val="24"/>
        </w:rPr>
      </w:pPr>
      <w:r w:rsidRPr="00C1657F">
        <w:rPr>
          <w:sz w:val="24"/>
          <w:szCs w:val="24"/>
        </w:rPr>
        <w:t>З метою проведення інформаційно - роз’яснювальної роботи управлінням розміщено статті щодо легалізації та детінізації заробітної плати на сайті Бучанської міської ради, в загальнодоступній соціальній мережі; проведено зустрічі з трудовими колективами, де наголошено про значний вплив отримуваної заробітної плати на забезпеченість в майбутньому.</w:t>
      </w:r>
    </w:p>
    <w:p w:rsidR="00CE723C" w:rsidRPr="00C1657F" w:rsidRDefault="00CE723C" w:rsidP="00CE723C">
      <w:pPr>
        <w:pStyle w:val="a3"/>
        <w:ind w:firstLine="708"/>
        <w:rPr>
          <w:b/>
          <w:bCs/>
          <w:sz w:val="24"/>
          <w:szCs w:val="24"/>
        </w:rPr>
      </w:pPr>
      <w:r w:rsidRPr="00C1657F">
        <w:rPr>
          <w:color w:val="1D2129"/>
          <w:sz w:val="24"/>
          <w:szCs w:val="24"/>
          <w:shd w:val="clear" w:color="auto" w:fill="FFFFFF"/>
        </w:rPr>
        <w:t>Питання забезпечення реалізації рішень, спрямованих на підвищення рівня оплати праці та дотримання норм законодавства в частині мінімальної заробітної плати, д</w:t>
      </w:r>
      <w:r w:rsidRPr="00C1657F">
        <w:rPr>
          <w:sz w:val="24"/>
          <w:szCs w:val="24"/>
        </w:rPr>
        <w:t xml:space="preserve">етінізація доходів та зайнятості населення - один із пріоритетних напрямків співпраці між Фондом, органами </w:t>
      </w:r>
      <w:proofErr w:type="spellStart"/>
      <w:r w:rsidRPr="00C1657F">
        <w:rPr>
          <w:sz w:val="24"/>
          <w:szCs w:val="24"/>
        </w:rPr>
        <w:t>Держпраці</w:t>
      </w:r>
      <w:proofErr w:type="spellEnd"/>
      <w:r w:rsidRPr="00C1657F">
        <w:rPr>
          <w:sz w:val="24"/>
          <w:szCs w:val="24"/>
        </w:rPr>
        <w:t>, фіскальної служби, органами місцевого самоврядування та іншими соціальними партнерами</w:t>
      </w:r>
      <w:r w:rsidRPr="00C1657F">
        <w:rPr>
          <w:color w:val="1D2129"/>
          <w:sz w:val="24"/>
          <w:szCs w:val="24"/>
          <w:shd w:val="clear" w:color="auto" w:fill="FFFFFF"/>
        </w:rPr>
        <w:t xml:space="preserve"> </w:t>
      </w:r>
      <w:r w:rsidRPr="00C1657F">
        <w:rPr>
          <w:rStyle w:val="apple-converted-space"/>
          <w:color w:val="1D2129"/>
          <w:sz w:val="24"/>
          <w:szCs w:val="24"/>
          <w:shd w:val="clear" w:color="auto" w:fill="FFFFFF"/>
        </w:rPr>
        <w:t> </w:t>
      </w:r>
      <w:r w:rsidRPr="00C1657F">
        <w:rPr>
          <w:sz w:val="24"/>
          <w:szCs w:val="24"/>
        </w:rPr>
        <w:t>на 2018 рік.</w:t>
      </w:r>
    </w:p>
    <w:p w:rsidR="00CE723C" w:rsidRPr="00C1657F" w:rsidRDefault="00CE723C" w:rsidP="00CE723C">
      <w:pPr>
        <w:rPr>
          <w:sz w:val="24"/>
          <w:szCs w:val="24"/>
          <w:lang w:val="uk-UA"/>
        </w:rPr>
      </w:pPr>
    </w:p>
    <w:p w:rsidR="00A34E05" w:rsidRPr="00CE723C" w:rsidRDefault="00A34E05">
      <w:pPr>
        <w:rPr>
          <w:lang w:val="uk-UA"/>
        </w:rPr>
      </w:pPr>
    </w:p>
    <w:sectPr w:rsidR="00A34E05" w:rsidRPr="00CE723C" w:rsidSect="00C1657F">
      <w:pgSz w:w="11906" w:h="16838"/>
      <w:pgMar w:top="142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4F3"/>
    <w:multiLevelType w:val="hybridMultilevel"/>
    <w:tmpl w:val="B0426A9C"/>
    <w:lvl w:ilvl="0" w:tplc="96BC13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E8388C"/>
    <w:multiLevelType w:val="hybridMultilevel"/>
    <w:tmpl w:val="39DC147A"/>
    <w:lvl w:ilvl="0" w:tplc="96BC13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9160D5"/>
    <w:multiLevelType w:val="hybridMultilevel"/>
    <w:tmpl w:val="150858C0"/>
    <w:lvl w:ilvl="0" w:tplc="96BC13FE">
      <w:start w:val="1"/>
      <w:numFmt w:val="bullet"/>
      <w:lvlText w:val=""/>
      <w:lvlJc w:val="left"/>
      <w:pPr>
        <w:ind w:left="4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AB"/>
    <w:rsid w:val="00554026"/>
    <w:rsid w:val="006A43AB"/>
    <w:rsid w:val="00A34E05"/>
    <w:rsid w:val="00CE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FB091-CEC5-421A-857C-A7EA459F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23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E723C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CE72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E723C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CE723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21">
    <w:name w:val="Body Text 2"/>
    <w:basedOn w:val="a"/>
    <w:link w:val="22"/>
    <w:uiPriority w:val="99"/>
    <w:rsid w:val="00CE723C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CE723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CE723C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CE723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Title"/>
    <w:basedOn w:val="a"/>
    <w:link w:val="a6"/>
    <w:uiPriority w:val="99"/>
    <w:qFormat/>
    <w:rsid w:val="00CE723C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bCs/>
      <w:sz w:val="32"/>
      <w:szCs w:val="32"/>
      <w:lang w:val="uk-UA"/>
    </w:rPr>
  </w:style>
  <w:style w:type="character" w:customStyle="1" w:styleId="a6">
    <w:name w:val="Заголовок Знак"/>
    <w:basedOn w:val="a0"/>
    <w:link w:val="a5"/>
    <w:uiPriority w:val="99"/>
    <w:rsid w:val="00CE723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CE723C"/>
  </w:style>
  <w:style w:type="paragraph" w:customStyle="1" w:styleId="210">
    <w:name w:val="Основной текст 21"/>
    <w:basedOn w:val="a"/>
    <w:uiPriority w:val="99"/>
    <w:rsid w:val="00CE723C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 w:eastAsia="ar-SA"/>
    </w:rPr>
  </w:style>
  <w:style w:type="paragraph" w:styleId="a7">
    <w:name w:val="Normal (Web)"/>
    <w:basedOn w:val="a"/>
    <w:uiPriority w:val="99"/>
    <w:rsid w:val="00CE72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caption"/>
    <w:basedOn w:val="a"/>
    <w:next w:val="a"/>
    <w:uiPriority w:val="99"/>
    <w:qFormat/>
    <w:rsid w:val="00CE723C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2018-08-07T08:30:00Z</dcterms:created>
  <dcterms:modified xsi:type="dcterms:W3CDTF">2018-08-07T08:30:00Z</dcterms:modified>
</cp:coreProperties>
</file>